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11BD" w14:textId="0B3CC017" w:rsidR="00976F08" w:rsidRDefault="00976F08" w:rsidP="0010594F">
      <w:pPr>
        <w:spacing w:after="0" w:line="240" w:lineRule="auto"/>
        <w:jc w:val="center"/>
        <w:rPr>
          <w:rFonts w:ascii="Calibri" w:hAnsi="Calibri" w:cs="Calibri"/>
        </w:rPr>
      </w:pPr>
    </w:p>
    <w:p w14:paraId="578481C6" w14:textId="77777777" w:rsidR="00976F08" w:rsidRDefault="00976F08" w:rsidP="0010594F">
      <w:pPr>
        <w:spacing w:after="0" w:line="240" w:lineRule="auto"/>
        <w:jc w:val="center"/>
        <w:rPr>
          <w:rFonts w:ascii="Calibri" w:hAnsi="Calibri" w:cs="Calibri"/>
        </w:rPr>
      </w:pPr>
    </w:p>
    <w:p w14:paraId="4C70F1E5" w14:textId="214CB201" w:rsidR="00976F08" w:rsidRPr="00976F08" w:rsidRDefault="005075E3" w:rsidP="00C83B3C">
      <w:pPr>
        <w:jc w:val="center"/>
        <w:rPr>
          <w:rStyle w:val="normaltextrun"/>
          <w:rFonts w:ascii="Calibri" w:hAnsi="Calibri" w:cs="Calibri"/>
          <w:b/>
          <w:bCs/>
          <w:color w:val="0A2F41" w:themeColor="accent1" w:themeShade="80"/>
          <w:sz w:val="36"/>
          <w:szCs w:val="36"/>
        </w:rPr>
      </w:pPr>
      <w:r w:rsidRPr="005075E3">
        <w:rPr>
          <w:rFonts w:ascii="Calibri" w:hAnsi="Calibri" w:cs="Calibri"/>
          <w:b/>
          <w:bCs/>
          <w:color w:val="0A2F41" w:themeColor="accent1" w:themeShade="80"/>
          <w:sz w:val="36"/>
          <w:szCs w:val="36"/>
        </w:rPr>
        <w:t>SSI</w:t>
      </w:r>
      <w:r w:rsidR="00C83B3C" w:rsidRPr="00C83B3C">
        <w:rPr>
          <w:rFonts w:ascii="Calibri" w:hAnsi="Calibri" w:cs="Calibri"/>
          <w:b/>
          <w:bCs/>
          <w:color w:val="0A2F41" w:themeColor="accent1" w:themeShade="80"/>
          <w:sz w:val="36"/>
          <w:szCs w:val="36"/>
        </w:rPr>
        <w:t xml:space="preserve"> Overpayments: What Families Need to Know</w:t>
      </w:r>
      <w:r w:rsidR="00C83B3C">
        <w:rPr>
          <w:rFonts w:ascii="Calibri" w:hAnsi="Calibri" w:cs="Calibri"/>
          <w:b/>
          <w:bCs/>
          <w:color w:val="0A2F41" w:themeColor="accent1" w:themeShade="80"/>
          <w:sz w:val="36"/>
          <w:szCs w:val="36"/>
        </w:rPr>
        <w:t xml:space="preserve">                                    </w:t>
      </w:r>
      <w:r w:rsidR="00C83B3C" w:rsidRPr="00C83B3C">
        <w:rPr>
          <w:rFonts w:ascii="Calibri" w:hAnsi="Calibri" w:cs="Calibri"/>
          <w:b/>
          <w:bCs/>
          <w:color w:val="0A2F41" w:themeColor="accent1" w:themeShade="80"/>
          <w:sz w:val="36"/>
          <w:szCs w:val="36"/>
        </w:rPr>
        <w:t>Before a Problem Occurs</w:t>
      </w:r>
    </w:p>
    <w:p w14:paraId="70B2C376"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For many individuals who receive Supplemental Security Income (SSI), monthly benefits play an important role in maintaining stability and independence. Yet one unexpected letter from the Social Security Administration can quickly create confusion, stress, and uncertainty.</w:t>
      </w:r>
    </w:p>
    <w:p w14:paraId="15016C86"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One of the most common concerns SSI recipients face is an overpayment notice.</w:t>
      </w:r>
    </w:p>
    <w:p w14:paraId="72ACFE75"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An SSI overpayment occurs when Social Security determines that a beneficiary received more benefits than they were eligible to receive. Sometimes the cause is straightforward. A change in income may not have been reported promptly. Living arrangements may have changed. Resources may have exceeded program limits. In other cases, the reason can be far less obvious.</w:t>
      </w:r>
    </w:p>
    <w:p w14:paraId="71AACE07"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Regardless of the cause, an overpayment notice can leave families wondering what happened, what comes next, and how they can protect benefits moving forward.</w:t>
      </w:r>
    </w:p>
    <w:p w14:paraId="3B390FE4" w14:textId="77777777" w:rsidR="00BD1D4B" w:rsidRDefault="00BD1D4B" w:rsidP="00BD1D4B">
      <w:pPr>
        <w:rPr>
          <w:rFonts w:ascii="Calibri" w:hAnsi="Calibri" w:cs="Calibri"/>
          <w:b/>
          <w:bCs/>
          <w:sz w:val="22"/>
          <w:szCs w:val="22"/>
        </w:rPr>
      </w:pPr>
    </w:p>
    <w:p w14:paraId="5C60EE46" w14:textId="198F48B5" w:rsidR="00BD1D4B" w:rsidRPr="00BD1D4B" w:rsidRDefault="00C83B3C" w:rsidP="00BD1D4B">
      <w:pPr>
        <w:rPr>
          <w:rFonts w:ascii="Calibri" w:hAnsi="Calibri" w:cs="Calibri"/>
          <w:b/>
          <w:bCs/>
          <w:sz w:val="28"/>
          <w:szCs w:val="28"/>
          <w:u w:val="single"/>
        </w:rPr>
      </w:pPr>
      <w:r w:rsidRPr="00C83B3C">
        <w:rPr>
          <w:rFonts w:ascii="Calibri" w:hAnsi="Calibri" w:cs="Calibri"/>
          <w:b/>
          <w:bCs/>
          <w:sz w:val="28"/>
          <w:szCs w:val="28"/>
          <w:u w:val="single"/>
        </w:rPr>
        <w:t>Why Overpayments Happen</w:t>
      </w:r>
    </w:p>
    <w:p w14:paraId="6031F408" w14:textId="3AA3FCFC"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xml:space="preserve">SSI is a </w:t>
      </w:r>
      <w:r w:rsidRPr="00C83B3C">
        <w:rPr>
          <w:rFonts w:ascii="Calibri" w:hAnsi="Calibri" w:cs="Calibri"/>
          <w:b/>
          <w:bCs/>
          <w:sz w:val="22"/>
          <w:szCs w:val="22"/>
        </w:rPr>
        <w:t>needs-based</w:t>
      </w:r>
      <w:r w:rsidRPr="00C83B3C">
        <w:rPr>
          <w:rFonts w:ascii="Calibri" w:hAnsi="Calibri" w:cs="Calibri"/>
          <w:b/>
          <w:bCs/>
          <w:sz w:val="22"/>
          <w:szCs w:val="22"/>
        </w:rPr>
        <w:t xml:space="preserve"> benefit program, which means eligibility and payment amounts can change when a person's circumstances change.</w:t>
      </w:r>
    </w:p>
    <w:p w14:paraId="776BCA38"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Examples include:</w:t>
      </w:r>
    </w:p>
    <w:p w14:paraId="7D39B516"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Changes in earned or unearned income</w:t>
      </w:r>
    </w:p>
    <w:p w14:paraId="29E4F8D1"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Changes in household composition</w:t>
      </w:r>
    </w:p>
    <w:p w14:paraId="502A2C16"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Changes in living arrangements</w:t>
      </w:r>
    </w:p>
    <w:p w14:paraId="7CEA30BD"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Receipt of financial support from others</w:t>
      </w:r>
    </w:p>
    <w:p w14:paraId="3F5CC051"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Resource or asset fluctuations</w:t>
      </w:r>
    </w:p>
    <w:p w14:paraId="644AAE6D"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Certain trust distributions or financial transactions</w:t>
      </w:r>
    </w:p>
    <w:p w14:paraId="018474EB" w14:textId="402D215E"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xml:space="preserve">Many families are surprised to learn how quickly a seemingly minor change can affect benefits. Something as simple as moving to a new residence, receiving financial assistance, or misunderstanding a reporting requirement may </w:t>
      </w:r>
      <w:proofErr w:type="gramStart"/>
      <w:r w:rsidRPr="00C83B3C">
        <w:rPr>
          <w:rFonts w:ascii="Calibri" w:hAnsi="Calibri" w:cs="Calibri"/>
          <w:b/>
          <w:bCs/>
          <w:sz w:val="22"/>
          <w:szCs w:val="22"/>
        </w:rPr>
        <w:t>impact</w:t>
      </w:r>
      <w:proofErr w:type="gramEnd"/>
      <w:r w:rsidRPr="00C83B3C">
        <w:rPr>
          <w:rFonts w:ascii="Calibri" w:hAnsi="Calibri" w:cs="Calibri"/>
          <w:b/>
          <w:bCs/>
          <w:sz w:val="22"/>
          <w:szCs w:val="22"/>
        </w:rPr>
        <w:t xml:space="preserve"> eligibility </w:t>
      </w:r>
      <w:proofErr w:type="spellStart"/>
      <w:proofErr w:type="gramStart"/>
      <w:r w:rsidRPr="00C83B3C">
        <w:rPr>
          <w:rFonts w:ascii="Calibri" w:hAnsi="Calibri" w:cs="Calibri"/>
          <w:b/>
          <w:bCs/>
          <w:sz w:val="22"/>
          <w:szCs w:val="22"/>
        </w:rPr>
        <w:t>calculations.Because</w:t>
      </w:r>
      <w:proofErr w:type="spellEnd"/>
      <w:proofErr w:type="gramEnd"/>
      <w:r w:rsidRPr="00C83B3C">
        <w:rPr>
          <w:rFonts w:ascii="Calibri" w:hAnsi="Calibri" w:cs="Calibri"/>
          <w:b/>
          <w:bCs/>
          <w:sz w:val="22"/>
          <w:szCs w:val="22"/>
        </w:rPr>
        <w:t xml:space="preserve"> SSI rules are complex, overpayments are not always the result of intentional mistakes. They often occur when information is incomplete, misunderstood, or reported after a delay.</w:t>
      </w:r>
    </w:p>
    <w:p w14:paraId="534BCD08" w14:textId="77777777" w:rsidR="00BD1D4B" w:rsidRDefault="00BD1D4B" w:rsidP="00BD1D4B">
      <w:pPr>
        <w:rPr>
          <w:rFonts w:ascii="Calibri" w:hAnsi="Calibri" w:cs="Calibri"/>
          <w:b/>
          <w:bCs/>
          <w:sz w:val="22"/>
          <w:szCs w:val="22"/>
        </w:rPr>
      </w:pPr>
    </w:p>
    <w:p w14:paraId="6A92092C" w14:textId="77777777" w:rsidR="00AD65E1" w:rsidRDefault="00AD65E1" w:rsidP="00BD1D4B">
      <w:pPr>
        <w:rPr>
          <w:rFonts w:ascii="Calibri" w:hAnsi="Calibri" w:cs="Calibri"/>
          <w:b/>
          <w:bCs/>
          <w:sz w:val="28"/>
          <w:szCs w:val="28"/>
          <w:u w:val="single"/>
        </w:rPr>
      </w:pPr>
    </w:p>
    <w:p w14:paraId="5B1EEEF1" w14:textId="77777777" w:rsidR="00C83B3C" w:rsidRDefault="00C83B3C" w:rsidP="00BD1D4B">
      <w:pPr>
        <w:rPr>
          <w:rFonts w:ascii="Calibri" w:hAnsi="Calibri" w:cs="Calibri"/>
          <w:b/>
          <w:bCs/>
          <w:sz w:val="28"/>
          <w:szCs w:val="28"/>
          <w:u w:val="single"/>
        </w:rPr>
      </w:pPr>
    </w:p>
    <w:p w14:paraId="55B3B84C" w14:textId="343472A5" w:rsidR="00BD1D4B" w:rsidRPr="00BD1D4B" w:rsidRDefault="00C83B3C" w:rsidP="00BD1D4B">
      <w:pPr>
        <w:rPr>
          <w:rFonts w:ascii="Calibri" w:hAnsi="Calibri" w:cs="Calibri"/>
          <w:b/>
          <w:bCs/>
          <w:sz w:val="28"/>
          <w:szCs w:val="28"/>
          <w:u w:val="single"/>
        </w:rPr>
      </w:pPr>
      <w:r w:rsidRPr="00C83B3C">
        <w:rPr>
          <w:rFonts w:ascii="Calibri" w:hAnsi="Calibri" w:cs="Calibri"/>
          <w:b/>
          <w:bCs/>
          <w:sz w:val="28"/>
          <w:szCs w:val="28"/>
          <w:u w:val="single"/>
        </w:rPr>
        <w:t>The Power of Staying Organized</w:t>
      </w:r>
    </w:p>
    <w:p w14:paraId="000947E2"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One of the best ways to reduce the likelihood of benefit complications is maintaining organized records.</w:t>
      </w:r>
    </w:p>
    <w:p w14:paraId="7F175215"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Keeping copies of benefit notices, financial statements, trust documentation, receipts, correspondence, and reporting confirmations can help families demonstrate what occurred and when.</w:t>
      </w:r>
    </w:p>
    <w:p w14:paraId="3CB4FD8C"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Think of documentation as creating a roadmap.</w:t>
      </w:r>
    </w:p>
    <w:p w14:paraId="066FA62D"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When questions arise months or even years later, records can help establish timelines, verify transactions, and clarify decisions that may otherwise be difficult to remember.</w:t>
      </w:r>
    </w:p>
    <w:p w14:paraId="0446B650"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Good recordkeeping cannot guarantee that issues will never occur, but it can make resolving them far less overwhelming.</w:t>
      </w:r>
    </w:p>
    <w:p w14:paraId="7B1AE771" w14:textId="77777777" w:rsidR="003B094A" w:rsidRDefault="003B094A" w:rsidP="00BD1D4B">
      <w:pPr>
        <w:rPr>
          <w:rFonts w:ascii="Calibri" w:hAnsi="Calibri" w:cs="Calibri"/>
          <w:b/>
          <w:bCs/>
          <w:sz w:val="22"/>
          <w:szCs w:val="22"/>
        </w:rPr>
      </w:pPr>
    </w:p>
    <w:p w14:paraId="3271192C" w14:textId="77777777" w:rsidR="00C83B3C" w:rsidRDefault="00C83B3C" w:rsidP="003B094A">
      <w:pPr>
        <w:rPr>
          <w:rFonts w:ascii="Calibri" w:hAnsi="Calibri" w:cs="Calibri"/>
          <w:b/>
          <w:bCs/>
          <w:sz w:val="28"/>
          <w:szCs w:val="28"/>
          <w:u w:val="single"/>
        </w:rPr>
      </w:pPr>
      <w:r w:rsidRPr="00C83B3C">
        <w:rPr>
          <w:rFonts w:ascii="Calibri" w:hAnsi="Calibri" w:cs="Calibri"/>
          <w:b/>
          <w:bCs/>
          <w:sz w:val="28"/>
          <w:szCs w:val="28"/>
          <w:u w:val="single"/>
        </w:rPr>
        <w:t>What To Do If You Receive an Overpayment Notice</w:t>
      </w:r>
    </w:p>
    <w:p w14:paraId="6B2F7EA3"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Receiving an overpayment notice does not necessarily mean you should panic.</w:t>
      </w:r>
    </w:p>
    <w:p w14:paraId="181A208A"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The first step is understanding exactly what Social Security is claiming and reviewing the information carefully. Overpayment notices typically explain the amount owed and the period involved.</w:t>
      </w:r>
    </w:p>
    <w:p w14:paraId="3D5F0235"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It is important to review:</w:t>
      </w:r>
    </w:p>
    <w:p w14:paraId="00E48E50"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The reason for the overpayment</w:t>
      </w:r>
    </w:p>
    <w:p w14:paraId="5B344B7B"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The dates involved</w:t>
      </w:r>
    </w:p>
    <w:p w14:paraId="0040A546"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Whether the information is accurate</w:t>
      </w:r>
    </w:p>
    <w:p w14:paraId="4B112979"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Any instructions regarding appeal rights or repayment options</w:t>
      </w:r>
    </w:p>
    <w:p w14:paraId="6C70E5E4"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Every situation is different. Some individuals may qualify to request reconsideration. Others may be eligible to request a waiver or discuss alternative repayment arrangements.</w:t>
      </w:r>
    </w:p>
    <w:p w14:paraId="42304960"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Taking time to understand your options can make a significant difference.</w:t>
      </w:r>
    </w:p>
    <w:p w14:paraId="28EBFCE2" w14:textId="77777777" w:rsidR="00C83B3C" w:rsidRDefault="00C83B3C" w:rsidP="00BD1D4B">
      <w:pPr>
        <w:rPr>
          <w:rFonts w:ascii="Calibri" w:hAnsi="Calibri" w:cs="Calibri"/>
          <w:b/>
          <w:bCs/>
          <w:sz w:val="22"/>
          <w:szCs w:val="22"/>
        </w:rPr>
      </w:pPr>
    </w:p>
    <w:p w14:paraId="43A91FC6" w14:textId="77777777" w:rsidR="00C83B3C" w:rsidRDefault="00C83B3C" w:rsidP="00BD1D4B">
      <w:pPr>
        <w:rPr>
          <w:rFonts w:ascii="Calibri" w:hAnsi="Calibri" w:cs="Calibri"/>
          <w:b/>
          <w:bCs/>
          <w:sz w:val="22"/>
          <w:szCs w:val="22"/>
        </w:rPr>
      </w:pPr>
    </w:p>
    <w:p w14:paraId="64D37B76" w14:textId="77777777" w:rsidR="00C83B3C" w:rsidRDefault="00C83B3C" w:rsidP="00BD1D4B">
      <w:pPr>
        <w:rPr>
          <w:rFonts w:ascii="Calibri" w:hAnsi="Calibri" w:cs="Calibri"/>
          <w:b/>
          <w:bCs/>
          <w:sz w:val="22"/>
          <w:szCs w:val="22"/>
        </w:rPr>
      </w:pPr>
    </w:p>
    <w:p w14:paraId="04740F3F" w14:textId="77777777" w:rsidR="00C83B3C" w:rsidRDefault="00C83B3C" w:rsidP="00BD1D4B">
      <w:pPr>
        <w:rPr>
          <w:rFonts w:ascii="Calibri" w:hAnsi="Calibri" w:cs="Calibri"/>
          <w:b/>
          <w:bCs/>
          <w:sz w:val="22"/>
          <w:szCs w:val="22"/>
        </w:rPr>
      </w:pPr>
    </w:p>
    <w:p w14:paraId="19BC4774" w14:textId="77777777" w:rsidR="00C83B3C" w:rsidRDefault="00C83B3C" w:rsidP="00BD1D4B">
      <w:pPr>
        <w:rPr>
          <w:rFonts w:ascii="Calibri" w:hAnsi="Calibri" w:cs="Calibri"/>
          <w:b/>
          <w:bCs/>
          <w:sz w:val="28"/>
          <w:szCs w:val="28"/>
          <w:u w:val="single"/>
        </w:rPr>
      </w:pPr>
    </w:p>
    <w:p w14:paraId="6DF9215D" w14:textId="1F31C53C" w:rsidR="00BD1D4B" w:rsidRDefault="00C83B3C" w:rsidP="00BD1D4B">
      <w:pPr>
        <w:rPr>
          <w:rFonts w:ascii="Calibri" w:hAnsi="Calibri" w:cs="Calibri"/>
          <w:b/>
          <w:bCs/>
          <w:sz w:val="28"/>
          <w:szCs w:val="28"/>
          <w:u w:val="single"/>
        </w:rPr>
      </w:pPr>
      <w:r w:rsidRPr="00C83B3C">
        <w:rPr>
          <w:rFonts w:ascii="Calibri" w:hAnsi="Calibri" w:cs="Calibri"/>
          <w:b/>
          <w:bCs/>
          <w:sz w:val="28"/>
          <w:szCs w:val="28"/>
          <w:u w:val="single"/>
        </w:rPr>
        <w:t>Building a Strong Foundation for Benefit Protection</w:t>
      </w:r>
    </w:p>
    <w:p w14:paraId="6B73C4FB"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Successful benefit management is often less about reacting to problems and more about preventing them.</w:t>
      </w:r>
    </w:p>
    <w:p w14:paraId="5358B80F"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Families who regularly monitor finances, report changes promptly, maintain organized records, and stay informed about benefit requirements are often better positioned to navigate challenges when they arise.</w:t>
      </w:r>
    </w:p>
    <w:p w14:paraId="0D9A0BF7"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xml:space="preserve">This is particularly important for individuals supported by family members, trustees, </w:t>
      </w:r>
      <w:proofErr w:type="gramStart"/>
      <w:r w:rsidRPr="00C83B3C">
        <w:rPr>
          <w:rFonts w:ascii="Calibri" w:hAnsi="Calibri" w:cs="Calibri"/>
          <w:b/>
          <w:bCs/>
          <w:sz w:val="22"/>
          <w:szCs w:val="22"/>
        </w:rPr>
        <w:t>representative payees</w:t>
      </w:r>
      <w:proofErr w:type="gramEnd"/>
      <w:r w:rsidRPr="00C83B3C">
        <w:rPr>
          <w:rFonts w:ascii="Calibri" w:hAnsi="Calibri" w:cs="Calibri"/>
          <w:b/>
          <w:bCs/>
          <w:sz w:val="22"/>
          <w:szCs w:val="22"/>
        </w:rPr>
        <w:t>, and other advocates who help manage financial and benefit related responsibilities.</w:t>
      </w:r>
    </w:p>
    <w:p w14:paraId="69C9C783"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The stronger the foundation, the easier it becomes to respond when unexpected questions arise.</w:t>
      </w:r>
    </w:p>
    <w:p w14:paraId="228887E1" w14:textId="77777777" w:rsidR="003B094A" w:rsidRPr="003B094A" w:rsidRDefault="003B094A" w:rsidP="003B094A">
      <w:pPr>
        <w:rPr>
          <w:rFonts w:ascii="Calibri" w:hAnsi="Calibri" w:cs="Calibri"/>
          <w:b/>
          <w:bCs/>
          <w:sz w:val="22"/>
          <w:szCs w:val="22"/>
        </w:rPr>
      </w:pPr>
    </w:p>
    <w:p w14:paraId="170426DF" w14:textId="2CEED20E" w:rsidR="003B094A" w:rsidRDefault="00C83B3C" w:rsidP="00BD1D4B">
      <w:pPr>
        <w:rPr>
          <w:rFonts w:ascii="Calibri" w:hAnsi="Calibri" w:cs="Calibri"/>
          <w:b/>
          <w:bCs/>
          <w:sz w:val="28"/>
          <w:szCs w:val="28"/>
          <w:u w:val="single"/>
        </w:rPr>
      </w:pPr>
      <w:r w:rsidRPr="00C83B3C">
        <w:rPr>
          <w:rFonts w:ascii="Calibri" w:hAnsi="Calibri" w:cs="Calibri"/>
          <w:b/>
          <w:bCs/>
          <w:sz w:val="28"/>
          <w:szCs w:val="28"/>
          <w:u w:val="single"/>
        </w:rPr>
        <w:t>How Good Shepherd Fund Supports Families</w:t>
      </w:r>
    </w:p>
    <w:p w14:paraId="31CFA260"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 xml:space="preserve">At Good Shepherd Fund, we understand that public benefits can be both essential and complicated. Families are often balancing caregiving responsibilities, financial planning, healthcare needs, and </w:t>
      </w:r>
      <w:proofErr w:type="gramStart"/>
      <w:r w:rsidRPr="00C83B3C">
        <w:rPr>
          <w:rFonts w:ascii="Calibri" w:hAnsi="Calibri" w:cs="Calibri"/>
          <w:b/>
          <w:bCs/>
          <w:sz w:val="22"/>
          <w:szCs w:val="22"/>
        </w:rPr>
        <w:t>long term</w:t>
      </w:r>
      <w:proofErr w:type="gramEnd"/>
      <w:r w:rsidRPr="00C83B3C">
        <w:rPr>
          <w:rFonts w:ascii="Calibri" w:hAnsi="Calibri" w:cs="Calibri"/>
          <w:b/>
          <w:bCs/>
          <w:sz w:val="22"/>
          <w:szCs w:val="22"/>
        </w:rPr>
        <w:t xml:space="preserve"> goals all at the same time.</w:t>
      </w:r>
    </w:p>
    <w:p w14:paraId="0594FEBE"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Our mission is to help individuals with disabilities and their families preserve important benefits while building greater financial security and independence.</w:t>
      </w:r>
    </w:p>
    <w:p w14:paraId="3FFD6589"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Whether you are navigating SSI for the first time or have been managing benefits for years, staying informed and proactive can help reduce uncertainty and create greater peace of mind for the future.</w:t>
      </w:r>
    </w:p>
    <w:p w14:paraId="5B7540E8" w14:textId="77777777" w:rsidR="003B094A" w:rsidRDefault="003B094A" w:rsidP="003B094A">
      <w:pPr>
        <w:rPr>
          <w:rFonts w:ascii="Calibri" w:hAnsi="Calibri" w:cs="Calibri"/>
          <w:b/>
          <w:bCs/>
          <w:sz w:val="22"/>
          <w:szCs w:val="22"/>
        </w:rPr>
      </w:pPr>
    </w:p>
    <w:p w14:paraId="52DE685C" w14:textId="0F6906D2" w:rsidR="00C83B3C" w:rsidRPr="00C83B3C" w:rsidRDefault="00C83B3C" w:rsidP="003B094A">
      <w:pPr>
        <w:rPr>
          <w:rFonts w:ascii="Calibri" w:hAnsi="Calibri" w:cs="Calibri"/>
          <w:b/>
          <w:bCs/>
          <w:sz w:val="28"/>
          <w:szCs w:val="28"/>
          <w:u w:val="single"/>
        </w:rPr>
      </w:pPr>
      <w:r w:rsidRPr="00C83B3C">
        <w:rPr>
          <w:rFonts w:ascii="Calibri" w:hAnsi="Calibri" w:cs="Calibri"/>
          <w:b/>
          <w:bCs/>
          <w:sz w:val="28"/>
          <w:szCs w:val="28"/>
          <w:u w:val="single"/>
        </w:rPr>
        <w:t>Additional Resources</w:t>
      </w:r>
    </w:p>
    <w:p w14:paraId="758B726D"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To learn more about SSI overpayment policies and recovery procedures, visit the Social Security Administration:</w:t>
      </w:r>
    </w:p>
    <w:p w14:paraId="01B1A4C1" w14:textId="77777777" w:rsidR="00C83B3C" w:rsidRPr="00C83B3C" w:rsidRDefault="00C83B3C" w:rsidP="00C83B3C">
      <w:pPr>
        <w:rPr>
          <w:rFonts w:ascii="Calibri" w:hAnsi="Calibri" w:cs="Calibri"/>
          <w:b/>
          <w:bCs/>
          <w:sz w:val="22"/>
          <w:szCs w:val="22"/>
        </w:rPr>
      </w:pPr>
      <w:hyperlink r:id="rId11" w:history="1">
        <w:r w:rsidRPr="00C83B3C">
          <w:rPr>
            <w:rStyle w:val="Hyperlink"/>
            <w:rFonts w:ascii="Calibri" w:hAnsi="Calibri" w:cs="Calibri"/>
            <w:b/>
            <w:bCs/>
            <w:sz w:val="22"/>
            <w:szCs w:val="22"/>
          </w:rPr>
          <w:t>https://www.ssa.gov</w:t>
        </w:r>
      </w:hyperlink>
    </w:p>
    <w:p w14:paraId="170A3BFC" w14:textId="77777777" w:rsidR="00C83B3C" w:rsidRPr="00C83B3C" w:rsidRDefault="00C83B3C" w:rsidP="00C83B3C">
      <w:pPr>
        <w:rPr>
          <w:rFonts w:ascii="Calibri" w:hAnsi="Calibri" w:cs="Calibri"/>
          <w:b/>
          <w:bCs/>
          <w:sz w:val="22"/>
          <w:szCs w:val="22"/>
        </w:rPr>
      </w:pPr>
      <w:r w:rsidRPr="00C83B3C">
        <w:rPr>
          <w:rFonts w:ascii="Calibri" w:hAnsi="Calibri" w:cs="Calibri"/>
          <w:b/>
          <w:bCs/>
          <w:sz w:val="22"/>
          <w:szCs w:val="22"/>
        </w:rPr>
        <w:t>To learn more about Good Shepherd Fund and the services available to individuals with disabilities and their families:</w:t>
      </w:r>
    </w:p>
    <w:p w14:paraId="7EABEB0B" w14:textId="77777777" w:rsidR="00C83B3C" w:rsidRPr="00C83B3C" w:rsidRDefault="00C83B3C" w:rsidP="00C83B3C">
      <w:pPr>
        <w:rPr>
          <w:rFonts w:ascii="Calibri" w:hAnsi="Calibri" w:cs="Calibri"/>
          <w:b/>
          <w:bCs/>
          <w:sz w:val="22"/>
          <w:szCs w:val="22"/>
        </w:rPr>
      </w:pPr>
      <w:hyperlink r:id="rId12" w:history="1">
        <w:r w:rsidRPr="00C83B3C">
          <w:rPr>
            <w:rStyle w:val="Hyperlink"/>
            <w:rFonts w:ascii="Calibri" w:hAnsi="Calibri" w:cs="Calibri"/>
            <w:b/>
            <w:bCs/>
            <w:sz w:val="22"/>
            <w:szCs w:val="22"/>
          </w:rPr>
          <w:t>https://www.goodshepherdfund.org</w:t>
        </w:r>
      </w:hyperlink>
    </w:p>
    <w:p w14:paraId="6EF91E31" w14:textId="7E4A9BFD" w:rsidR="00BD1D4B" w:rsidRPr="00BD1D4B" w:rsidRDefault="00BD1D4B" w:rsidP="003B094A">
      <w:pPr>
        <w:rPr>
          <w:rFonts w:ascii="Calibri" w:hAnsi="Calibri" w:cs="Calibri"/>
          <w:b/>
          <w:bCs/>
          <w:sz w:val="22"/>
          <w:szCs w:val="22"/>
        </w:rPr>
      </w:pPr>
    </w:p>
    <w:sectPr w:rsidR="00BD1D4B" w:rsidRPr="00BD1D4B" w:rsidSect="00AD65E1">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A80A" w14:textId="77777777" w:rsidR="00121855" w:rsidRDefault="00121855" w:rsidP="00A6080E">
      <w:pPr>
        <w:spacing w:after="0" w:line="240" w:lineRule="auto"/>
      </w:pPr>
      <w:r>
        <w:separator/>
      </w:r>
    </w:p>
  </w:endnote>
  <w:endnote w:type="continuationSeparator" w:id="0">
    <w:p w14:paraId="605EC91C" w14:textId="77777777" w:rsidR="00121855" w:rsidRDefault="00121855" w:rsidP="00A6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72E4" w14:textId="77777777" w:rsidR="00987D8B" w:rsidRDefault="00987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055431"/>
      <w:docPartObj>
        <w:docPartGallery w:val="Page Numbers (Bottom of Page)"/>
        <w:docPartUnique/>
      </w:docPartObj>
    </w:sdtPr>
    <w:sdtEndPr>
      <w:rPr>
        <w:rFonts w:ascii="Arial" w:hAnsi="Arial" w:cs="Arial"/>
        <w:noProof/>
      </w:rPr>
    </w:sdtEndPr>
    <w:sdtContent>
      <w:p w14:paraId="4125C2C9" w14:textId="2038372E" w:rsidR="003B094A" w:rsidRPr="00AD65E1" w:rsidRDefault="00837D5F">
        <w:pPr>
          <w:pStyle w:val="Footer"/>
          <w:jc w:val="right"/>
          <w:rPr>
            <w:rFonts w:ascii="Arial" w:hAnsi="Arial" w:cs="Arial"/>
          </w:rPr>
        </w:pPr>
        <w:r>
          <w:rPr>
            <w:rFonts w:ascii="Arial" w:hAnsi="Arial" w:cs="Arial"/>
            <w:noProof/>
          </w:rPr>
          <w:drawing>
            <wp:anchor distT="0" distB="0" distL="114300" distR="114300" simplePos="0" relativeHeight="251666432" behindDoc="1" locked="0" layoutInCell="1" allowOverlap="1" wp14:anchorId="298606A3" wp14:editId="3ACF653B">
              <wp:simplePos x="0" y="0"/>
              <wp:positionH relativeFrom="margin">
                <wp:align>center</wp:align>
              </wp:positionH>
              <wp:positionV relativeFrom="paragraph">
                <wp:posOffset>-131263</wp:posOffset>
              </wp:positionV>
              <wp:extent cx="5943600" cy="599440"/>
              <wp:effectExtent l="0" t="0" r="0" b="0"/>
              <wp:wrapNone/>
              <wp:docPr id="1570275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9440"/>
                      </a:xfrm>
                      <a:prstGeom prst="rect">
                        <a:avLst/>
                      </a:prstGeom>
                      <a:noFill/>
                      <a:ln>
                        <a:noFill/>
                      </a:ln>
                    </pic:spPr>
                  </pic:pic>
                </a:graphicData>
              </a:graphic>
            </wp:anchor>
          </w:drawing>
        </w:r>
        <w:r w:rsidR="003B094A" w:rsidRPr="00AD65E1">
          <w:rPr>
            <w:rFonts w:ascii="Arial" w:hAnsi="Arial" w:cs="Arial"/>
          </w:rPr>
          <w:fldChar w:fldCharType="begin"/>
        </w:r>
        <w:r w:rsidR="003B094A" w:rsidRPr="00AD65E1">
          <w:rPr>
            <w:rFonts w:ascii="Arial" w:hAnsi="Arial" w:cs="Arial"/>
          </w:rPr>
          <w:instrText xml:space="preserve"> PAGE   \* MERGEFORMAT </w:instrText>
        </w:r>
        <w:r w:rsidR="003B094A" w:rsidRPr="00AD65E1">
          <w:rPr>
            <w:rFonts w:ascii="Arial" w:hAnsi="Arial" w:cs="Arial"/>
          </w:rPr>
          <w:fldChar w:fldCharType="separate"/>
        </w:r>
        <w:r w:rsidR="003B094A" w:rsidRPr="00AD65E1">
          <w:rPr>
            <w:rFonts w:ascii="Arial" w:hAnsi="Arial" w:cs="Arial"/>
            <w:noProof/>
          </w:rPr>
          <w:t>2</w:t>
        </w:r>
        <w:r w:rsidR="003B094A" w:rsidRPr="00AD65E1">
          <w:rPr>
            <w:rFonts w:ascii="Arial" w:hAnsi="Arial" w:cs="Arial"/>
            <w:noProof/>
          </w:rPr>
          <w:fldChar w:fldCharType="end"/>
        </w:r>
      </w:p>
    </w:sdtContent>
  </w:sdt>
  <w:p w14:paraId="548A200F" w14:textId="20C969AD" w:rsidR="00987D8B" w:rsidRPr="00987D8B" w:rsidRDefault="00987D8B" w:rsidP="00987D8B">
    <w:pPr>
      <w:pStyle w:val="Footer"/>
      <w:jc w:val="center"/>
      <w:rPr>
        <w:rFonts w:ascii="Calibri" w:hAnsi="Calibri" w:cs="Calibri"/>
        <w:color w:val="0F4761" w:themeColor="accent1" w:themeShade="B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45E7" w14:textId="77777777" w:rsidR="00987D8B" w:rsidRDefault="00987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68AF" w14:textId="77777777" w:rsidR="00121855" w:rsidRDefault="00121855" w:rsidP="00A6080E">
      <w:pPr>
        <w:spacing w:after="0" w:line="240" w:lineRule="auto"/>
      </w:pPr>
      <w:r>
        <w:separator/>
      </w:r>
    </w:p>
  </w:footnote>
  <w:footnote w:type="continuationSeparator" w:id="0">
    <w:p w14:paraId="0DECC9DA" w14:textId="77777777" w:rsidR="00121855" w:rsidRDefault="00121855" w:rsidP="00A6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0FD3" w14:textId="77777777" w:rsidR="00987D8B" w:rsidRDefault="00987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C78E" w14:textId="6EF00A02" w:rsidR="00274058" w:rsidRPr="00274058" w:rsidRDefault="00C83B3C" w:rsidP="00274058">
    <w:pPr>
      <w:pStyle w:val="Header"/>
    </w:pPr>
    <w:r>
      <w:rPr>
        <w:noProof/>
      </w:rPr>
      <w:drawing>
        <wp:anchor distT="0" distB="0" distL="114300" distR="114300" simplePos="0" relativeHeight="251665408" behindDoc="1" locked="0" layoutInCell="1" allowOverlap="1" wp14:anchorId="1505E0CC" wp14:editId="489AF77F">
          <wp:simplePos x="0" y="0"/>
          <wp:positionH relativeFrom="margin">
            <wp:align>center</wp:align>
          </wp:positionH>
          <wp:positionV relativeFrom="paragraph">
            <wp:posOffset>-138313</wp:posOffset>
          </wp:positionV>
          <wp:extent cx="3891915" cy="631190"/>
          <wp:effectExtent l="0" t="0" r="0" b="0"/>
          <wp:wrapNone/>
          <wp:docPr id="899561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1915" cy="631190"/>
                  </a:xfrm>
                  <a:prstGeom prst="rect">
                    <a:avLst/>
                  </a:prstGeom>
                  <a:noFill/>
                  <a:ln>
                    <a:noFill/>
                  </a:ln>
                </pic:spPr>
              </pic:pic>
            </a:graphicData>
          </a:graphic>
        </wp:anchor>
      </w:drawing>
    </w:r>
    <w:r>
      <w:rPr>
        <w:noProof/>
      </w:rPr>
      <w:drawing>
        <wp:anchor distT="0" distB="0" distL="114300" distR="114300" simplePos="0" relativeHeight="251664384" behindDoc="1" locked="0" layoutInCell="1" allowOverlap="1" wp14:anchorId="01C3F99B" wp14:editId="694B803A">
          <wp:simplePos x="0" y="0"/>
          <wp:positionH relativeFrom="margin">
            <wp:posOffset>-2424312</wp:posOffset>
          </wp:positionH>
          <wp:positionV relativeFrom="paragraph">
            <wp:posOffset>-818350</wp:posOffset>
          </wp:positionV>
          <wp:extent cx="11469493" cy="1033780"/>
          <wp:effectExtent l="0" t="0" r="0" b="0"/>
          <wp:wrapNone/>
          <wp:docPr id="2080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69493" cy="10337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B688" w14:textId="77777777" w:rsidR="00987D8B" w:rsidRDefault="00987D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3762CB"/>
    <w:rsid w:val="00045B73"/>
    <w:rsid w:val="00046120"/>
    <w:rsid w:val="00075A77"/>
    <w:rsid w:val="00076998"/>
    <w:rsid w:val="0009331C"/>
    <w:rsid w:val="000C71F0"/>
    <w:rsid w:val="0010594F"/>
    <w:rsid w:val="00117A29"/>
    <w:rsid w:val="00121855"/>
    <w:rsid w:val="00123FE8"/>
    <w:rsid w:val="001418DD"/>
    <w:rsid w:val="00143F0C"/>
    <w:rsid w:val="00163982"/>
    <w:rsid w:val="001655DD"/>
    <w:rsid w:val="00190911"/>
    <w:rsid w:val="001B778D"/>
    <w:rsid w:val="0022671C"/>
    <w:rsid w:val="00244514"/>
    <w:rsid w:val="00252430"/>
    <w:rsid w:val="0026407A"/>
    <w:rsid w:val="00274058"/>
    <w:rsid w:val="00291713"/>
    <w:rsid w:val="00295FD4"/>
    <w:rsid w:val="00296011"/>
    <w:rsid w:val="002C2E71"/>
    <w:rsid w:val="002E3966"/>
    <w:rsid w:val="0030702F"/>
    <w:rsid w:val="00307E5B"/>
    <w:rsid w:val="00327277"/>
    <w:rsid w:val="0038128D"/>
    <w:rsid w:val="00393789"/>
    <w:rsid w:val="003B094A"/>
    <w:rsid w:val="003F0F6B"/>
    <w:rsid w:val="004145E1"/>
    <w:rsid w:val="00424002"/>
    <w:rsid w:val="00427825"/>
    <w:rsid w:val="00444D1A"/>
    <w:rsid w:val="0044688A"/>
    <w:rsid w:val="00451CD4"/>
    <w:rsid w:val="004608D7"/>
    <w:rsid w:val="00472D62"/>
    <w:rsid w:val="00486D69"/>
    <w:rsid w:val="004D0ED6"/>
    <w:rsid w:val="004D2F79"/>
    <w:rsid w:val="004D456A"/>
    <w:rsid w:val="004F1668"/>
    <w:rsid w:val="005075E3"/>
    <w:rsid w:val="00514D02"/>
    <w:rsid w:val="00556831"/>
    <w:rsid w:val="005626F7"/>
    <w:rsid w:val="0057617C"/>
    <w:rsid w:val="00597647"/>
    <w:rsid w:val="005A2B9C"/>
    <w:rsid w:val="005D3F06"/>
    <w:rsid w:val="005E5FAC"/>
    <w:rsid w:val="006072EF"/>
    <w:rsid w:val="00664036"/>
    <w:rsid w:val="00672CCE"/>
    <w:rsid w:val="006B7A0E"/>
    <w:rsid w:val="006C44DB"/>
    <w:rsid w:val="00716C08"/>
    <w:rsid w:val="007270E0"/>
    <w:rsid w:val="00776DB4"/>
    <w:rsid w:val="00785BC8"/>
    <w:rsid w:val="00787934"/>
    <w:rsid w:val="007A1158"/>
    <w:rsid w:val="007D08F1"/>
    <w:rsid w:val="007F5397"/>
    <w:rsid w:val="0080484E"/>
    <w:rsid w:val="00804CEE"/>
    <w:rsid w:val="008322F7"/>
    <w:rsid w:val="00837D5F"/>
    <w:rsid w:val="00852840"/>
    <w:rsid w:val="008622BD"/>
    <w:rsid w:val="00865B45"/>
    <w:rsid w:val="00867DB2"/>
    <w:rsid w:val="008A11C2"/>
    <w:rsid w:val="008C5135"/>
    <w:rsid w:val="00900FE6"/>
    <w:rsid w:val="00927477"/>
    <w:rsid w:val="00976F08"/>
    <w:rsid w:val="00987D8B"/>
    <w:rsid w:val="009A1263"/>
    <w:rsid w:val="009A7EA4"/>
    <w:rsid w:val="009C129D"/>
    <w:rsid w:val="009D0E21"/>
    <w:rsid w:val="009D6886"/>
    <w:rsid w:val="009E62C7"/>
    <w:rsid w:val="00A21690"/>
    <w:rsid w:val="00A522B3"/>
    <w:rsid w:val="00A5599D"/>
    <w:rsid w:val="00A6080E"/>
    <w:rsid w:val="00A77966"/>
    <w:rsid w:val="00A8489D"/>
    <w:rsid w:val="00A8572D"/>
    <w:rsid w:val="00A92054"/>
    <w:rsid w:val="00A95146"/>
    <w:rsid w:val="00AA3ACB"/>
    <w:rsid w:val="00AA6B1C"/>
    <w:rsid w:val="00AB4C5A"/>
    <w:rsid w:val="00AD6113"/>
    <w:rsid w:val="00AD65E1"/>
    <w:rsid w:val="00AF7606"/>
    <w:rsid w:val="00B06EA3"/>
    <w:rsid w:val="00B13C7D"/>
    <w:rsid w:val="00B447A9"/>
    <w:rsid w:val="00B611F2"/>
    <w:rsid w:val="00BD1091"/>
    <w:rsid w:val="00BD1D4B"/>
    <w:rsid w:val="00BF564A"/>
    <w:rsid w:val="00C120F3"/>
    <w:rsid w:val="00C23080"/>
    <w:rsid w:val="00C24827"/>
    <w:rsid w:val="00C32599"/>
    <w:rsid w:val="00C60B48"/>
    <w:rsid w:val="00C83B3C"/>
    <w:rsid w:val="00C910D9"/>
    <w:rsid w:val="00C974C1"/>
    <w:rsid w:val="00CB0981"/>
    <w:rsid w:val="00CE2412"/>
    <w:rsid w:val="00CE3B3F"/>
    <w:rsid w:val="00D35941"/>
    <w:rsid w:val="00D45071"/>
    <w:rsid w:val="00D53524"/>
    <w:rsid w:val="00D806F0"/>
    <w:rsid w:val="00DB7E0B"/>
    <w:rsid w:val="00DC1D5C"/>
    <w:rsid w:val="00DC5CB4"/>
    <w:rsid w:val="00DD2F36"/>
    <w:rsid w:val="00DD63AC"/>
    <w:rsid w:val="00E176B7"/>
    <w:rsid w:val="00E269A6"/>
    <w:rsid w:val="00E32FD4"/>
    <w:rsid w:val="00E541A6"/>
    <w:rsid w:val="00EF5AE1"/>
    <w:rsid w:val="00EF5E8A"/>
    <w:rsid w:val="00F1439F"/>
    <w:rsid w:val="00F330B0"/>
    <w:rsid w:val="00F35F0E"/>
    <w:rsid w:val="00F436C8"/>
    <w:rsid w:val="00FB0442"/>
    <w:rsid w:val="00FB39A1"/>
    <w:rsid w:val="00FC368A"/>
    <w:rsid w:val="01C118B0"/>
    <w:rsid w:val="03CBCC78"/>
    <w:rsid w:val="058E52DB"/>
    <w:rsid w:val="0654131F"/>
    <w:rsid w:val="071834B9"/>
    <w:rsid w:val="071BA7D0"/>
    <w:rsid w:val="08010735"/>
    <w:rsid w:val="09015082"/>
    <w:rsid w:val="0BC5B19F"/>
    <w:rsid w:val="0D6C1A28"/>
    <w:rsid w:val="0E5A82FD"/>
    <w:rsid w:val="0FB497C7"/>
    <w:rsid w:val="11AA7B5A"/>
    <w:rsid w:val="124556FF"/>
    <w:rsid w:val="13DA2B73"/>
    <w:rsid w:val="141933E0"/>
    <w:rsid w:val="143E25BA"/>
    <w:rsid w:val="159F996F"/>
    <w:rsid w:val="1624AE2C"/>
    <w:rsid w:val="18A89C9E"/>
    <w:rsid w:val="1B04C64C"/>
    <w:rsid w:val="1CA048D2"/>
    <w:rsid w:val="1E064C59"/>
    <w:rsid w:val="1E44C0E5"/>
    <w:rsid w:val="1F8A0672"/>
    <w:rsid w:val="1FC39195"/>
    <w:rsid w:val="201C341A"/>
    <w:rsid w:val="2147BA3E"/>
    <w:rsid w:val="2169C985"/>
    <w:rsid w:val="2197D5C7"/>
    <w:rsid w:val="22522379"/>
    <w:rsid w:val="22BEBD5D"/>
    <w:rsid w:val="234E794E"/>
    <w:rsid w:val="23C736DC"/>
    <w:rsid w:val="26734ADC"/>
    <w:rsid w:val="290DEBC1"/>
    <w:rsid w:val="29E26C6E"/>
    <w:rsid w:val="2AA90852"/>
    <w:rsid w:val="2B361CBD"/>
    <w:rsid w:val="2CBEB1B6"/>
    <w:rsid w:val="2E0CD809"/>
    <w:rsid w:val="2F240C8D"/>
    <w:rsid w:val="317AD664"/>
    <w:rsid w:val="318EC149"/>
    <w:rsid w:val="325982EC"/>
    <w:rsid w:val="340F36F2"/>
    <w:rsid w:val="344D0389"/>
    <w:rsid w:val="350E5831"/>
    <w:rsid w:val="356FFAEA"/>
    <w:rsid w:val="35B467A6"/>
    <w:rsid w:val="385DA94C"/>
    <w:rsid w:val="38C7F5BC"/>
    <w:rsid w:val="3978FADE"/>
    <w:rsid w:val="3B54D11E"/>
    <w:rsid w:val="3C9CB930"/>
    <w:rsid w:val="3CDF0638"/>
    <w:rsid w:val="3D46D236"/>
    <w:rsid w:val="3DB5C0B5"/>
    <w:rsid w:val="3E9068ED"/>
    <w:rsid w:val="3EF4E57D"/>
    <w:rsid w:val="3FDCE0D0"/>
    <w:rsid w:val="40484951"/>
    <w:rsid w:val="40D284E6"/>
    <w:rsid w:val="4139DA83"/>
    <w:rsid w:val="41B66336"/>
    <w:rsid w:val="429D1DF3"/>
    <w:rsid w:val="42B395BB"/>
    <w:rsid w:val="43B6C05B"/>
    <w:rsid w:val="4456DD95"/>
    <w:rsid w:val="473991EB"/>
    <w:rsid w:val="47A859C2"/>
    <w:rsid w:val="47D600E2"/>
    <w:rsid w:val="4903F6E1"/>
    <w:rsid w:val="4919EA4A"/>
    <w:rsid w:val="49696445"/>
    <w:rsid w:val="4A34FF76"/>
    <w:rsid w:val="4A9E58E6"/>
    <w:rsid w:val="4B33B756"/>
    <w:rsid w:val="4B7E1399"/>
    <w:rsid w:val="4B90ACDB"/>
    <w:rsid w:val="4BCE781E"/>
    <w:rsid w:val="4BCF98F8"/>
    <w:rsid w:val="4DB2292C"/>
    <w:rsid w:val="4EAC2DAC"/>
    <w:rsid w:val="4ED4AAD8"/>
    <w:rsid w:val="4FA11E97"/>
    <w:rsid w:val="4FB1C244"/>
    <w:rsid w:val="5243E402"/>
    <w:rsid w:val="53DB3ACE"/>
    <w:rsid w:val="540B5523"/>
    <w:rsid w:val="55B1124B"/>
    <w:rsid w:val="568C3F3B"/>
    <w:rsid w:val="56CDD4D3"/>
    <w:rsid w:val="57F80DF6"/>
    <w:rsid w:val="587444B3"/>
    <w:rsid w:val="5885C37E"/>
    <w:rsid w:val="58A70138"/>
    <w:rsid w:val="5963ED23"/>
    <w:rsid w:val="6004E9A5"/>
    <w:rsid w:val="60F328D0"/>
    <w:rsid w:val="61369C54"/>
    <w:rsid w:val="63326DE6"/>
    <w:rsid w:val="63551347"/>
    <w:rsid w:val="64693CCC"/>
    <w:rsid w:val="6531FE9B"/>
    <w:rsid w:val="65F53E54"/>
    <w:rsid w:val="65F8D08F"/>
    <w:rsid w:val="67006AFE"/>
    <w:rsid w:val="6872E947"/>
    <w:rsid w:val="68DCFA87"/>
    <w:rsid w:val="6B963818"/>
    <w:rsid w:val="6C79B52C"/>
    <w:rsid w:val="6CB9C083"/>
    <w:rsid w:val="6F30C5B3"/>
    <w:rsid w:val="6FDB550C"/>
    <w:rsid w:val="6FDEE3CD"/>
    <w:rsid w:val="6FDF8788"/>
    <w:rsid w:val="70095742"/>
    <w:rsid w:val="712D842F"/>
    <w:rsid w:val="7145810A"/>
    <w:rsid w:val="72077849"/>
    <w:rsid w:val="7364F7BD"/>
    <w:rsid w:val="740B9B2B"/>
    <w:rsid w:val="7411EA1E"/>
    <w:rsid w:val="743762CB"/>
    <w:rsid w:val="74B408FF"/>
    <w:rsid w:val="75863117"/>
    <w:rsid w:val="7589259A"/>
    <w:rsid w:val="7949E5D7"/>
    <w:rsid w:val="79C200E4"/>
    <w:rsid w:val="7A30D553"/>
    <w:rsid w:val="7A74C79A"/>
    <w:rsid w:val="7B45B850"/>
    <w:rsid w:val="7C5B9BD4"/>
    <w:rsid w:val="7DD272C8"/>
    <w:rsid w:val="7E34D1CF"/>
    <w:rsid w:val="7E56CCDC"/>
    <w:rsid w:val="7E79C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762CB"/>
  <w15:chartTrackingRefBased/>
  <w15:docId w15:val="{69BB55CC-E16F-4C1D-A611-0C43F017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D0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14D0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uiPriority w:val="9"/>
    <w:unhideWhenUsed/>
    <w:qFormat/>
    <w:rsid w:val="40D284E6"/>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B361CBD"/>
    <w:pPr>
      <w:ind w:left="720"/>
      <w:contextualSpacing/>
    </w:pPr>
  </w:style>
  <w:style w:type="paragraph" w:styleId="Header">
    <w:name w:val="header"/>
    <w:basedOn w:val="Normal"/>
    <w:link w:val="HeaderChar"/>
    <w:uiPriority w:val="99"/>
    <w:unhideWhenUsed/>
    <w:rsid w:val="00A6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80E"/>
  </w:style>
  <w:style w:type="paragraph" w:styleId="Footer">
    <w:name w:val="footer"/>
    <w:basedOn w:val="Normal"/>
    <w:link w:val="FooterChar"/>
    <w:uiPriority w:val="99"/>
    <w:unhideWhenUsed/>
    <w:rsid w:val="00A60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80E"/>
  </w:style>
  <w:style w:type="character" w:customStyle="1" w:styleId="Heading1Char">
    <w:name w:val="Heading 1 Char"/>
    <w:basedOn w:val="DefaultParagraphFont"/>
    <w:link w:val="Heading1"/>
    <w:uiPriority w:val="9"/>
    <w:rsid w:val="00514D02"/>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514D02"/>
    <w:rPr>
      <w:rFonts w:asciiTheme="majorHAnsi" w:eastAsiaTheme="majorEastAsia" w:hAnsiTheme="majorHAnsi" w:cstheme="majorBidi"/>
      <w:color w:val="0F4761" w:themeColor="accent1" w:themeShade="BF"/>
      <w:sz w:val="26"/>
      <w:szCs w:val="26"/>
    </w:rPr>
  </w:style>
  <w:style w:type="paragraph" w:styleId="NoSpacing">
    <w:name w:val="No Spacing"/>
    <w:uiPriority w:val="1"/>
    <w:qFormat/>
    <w:rsid w:val="00514D02"/>
    <w:pPr>
      <w:spacing w:after="0" w:line="240" w:lineRule="auto"/>
    </w:pPr>
    <w:rPr>
      <w:rFonts w:ascii="Calibri" w:eastAsia="Calibri" w:hAnsi="Calibri" w:cs="Times New Roman"/>
      <w:sz w:val="22"/>
      <w:szCs w:val="22"/>
      <w:lang w:eastAsia="en-US"/>
    </w:rPr>
  </w:style>
  <w:style w:type="paragraph" w:customStyle="1" w:styleId="paragraph">
    <w:name w:val="paragraph"/>
    <w:basedOn w:val="Normal"/>
    <w:rsid w:val="00976F0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976F08"/>
  </w:style>
  <w:style w:type="character" w:customStyle="1" w:styleId="scxw100555378">
    <w:name w:val="scxw100555378"/>
    <w:basedOn w:val="DefaultParagraphFont"/>
    <w:rsid w:val="00976F08"/>
  </w:style>
  <w:style w:type="character" w:customStyle="1" w:styleId="eop">
    <w:name w:val="eop"/>
    <w:basedOn w:val="DefaultParagraphFont"/>
    <w:rsid w:val="00976F08"/>
  </w:style>
  <w:style w:type="character" w:styleId="Hyperlink">
    <w:name w:val="Hyperlink"/>
    <w:basedOn w:val="DefaultParagraphFont"/>
    <w:uiPriority w:val="99"/>
    <w:unhideWhenUsed/>
    <w:rsid w:val="003B094A"/>
    <w:rPr>
      <w:color w:val="467886" w:themeColor="hyperlink"/>
      <w:u w:val="single"/>
    </w:rPr>
  </w:style>
  <w:style w:type="character" w:styleId="UnresolvedMention">
    <w:name w:val="Unresolved Mention"/>
    <w:basedOn w:val="DefaultParagraphFont"/>
    <w:uiPriority w:val="99"/>
    <w:semiHidden/>
    <w:unhideWhenUsed/>
    <w:rsid w:val="003B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dshepherdfun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a.gov"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505ce90b-4e9d-42ed-bce1-31a926703740">V6XFWC32J7RQ-1299906446-12539</_dlc_DocId>
    <_dlc_DocIdUrl xmlns="505ce90b-4e9d-42ed-bce1-31a926703740">
      <Url>https://securedfuturessnt1.sharepoint.com/sites/Accounting/_layouts/15/DocIdRedir.aspx?ID=V6XFWC32J7RQ-1299906446-12539</Url>
      <Description>V6XFWC32J7RQ-1299906446-12539</Description>
    </_dlc_DocIdUrl>
    <TaxCatchAll xmlns="505ce90b-4e9d-42ed-bce1-31a926703740" xsi:nil="true"/>
    <lcf76f155ced4ddcb4097134ff3c332f xmlns="09ca71ed-eeb5-45f0-82a7-1fd105711017">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690E1C4110A6F4F9AB7B9E37AA26560" ma:contentTypeVersion="18" ma:contentTypeDescription="Create a new document." ma:contentTypeScope="" ma:versionID="ca415dc973aaa37617d381ca76a13ffb">
  <xsd:schema xmlns:xsd="http://www.w3.org/2001/XMLSchema" xmlns:xs="http://www.w3.org/2001/XMLSchema" xmlns:p="http://schemas.microsoft.com/office/2006/metadata/properties" xmlns:ns2="505ce90b-4e9d-42ed-bce1-31a926703740" xmlns:ns3="09ca71ed-eeb5-45f0-82a7-1fd105711017" targetNamespace="http://schemas.microsoft.com/office/2006/metadata/properties" ma:root="true" ma:fieldsID="79cb1a6a6a3bbcff51c6861870dbc40f" ns2:_="" ns3:_="">
    <xsd:import namespace="505ce90b-4e9d-42ed-bce1-31a926703740"/>
    <xsd:import namespace="09ca71ed-eeb5-45f0-82a7-1fd1057110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ce90b-4e9d-42ed-bce1-31a9267037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6a44d294-b152-4c40-853c-76b6ef87591f}" ma:internalName="TaxCatchAll" ma:showField="CatchAllData" ma:web="505ce90b-4e9d-42ed-bce1-31a926703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a71ed-eeb5-45f0-82a7-1fd1057110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8eb05a-79b6-4eb8-822f-bdca0abb610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F26A5-3948-4873-96F1-6F7FB3A8F221}">
  <ds:schemaRefs>
    <ds:schemaRef ds:uri="http://schemas.openxmlformats.org/officeDocument/2006/bibliography"/>
  </ds:schemaRefs>
</ds:datastoreItem>
</file>

<file path=customXml/itemProps2.xml><?xml version="1.0" encoding="utf-8"?>
<ds:datastoreItem xmlns:ds="http://schemas.openxmlformats.org/officeDocument/2006/customXml" ds:itemID="{1530D1C6-C0C1-4E90-869A-E2203DDE6896}">
  <ds:schemaRefs>
    <ds:schemaRef ds:uri="http://schemas.microsoft.com/office/2006/metadata/properties"/>
    <ds:schemaRef ds:uri="http://schemas.microsoft.com/office/infopath/2007/PartnerControls"/>
    <ds:schemaRef ds:uri="505ce90b-4e9d-42ed-bce1-31a926703740"/>
    <ds:schemaRef ds:uri="09ca71ed-eeb5-45f0-82a7-1fd105711017"/>
  </ds:schemaRefs>
</ds:datastoreItem>
</file>

<file path=customXml/itemProps3.xml><?xml version="1.0" encoding="utf-8"?>
<ds:datastoreItem xmlns:ds="http://schemas.openxmlformats.org/officeDocument/2006/customXml" ds:itemID="{4D9CF461-DABB-431A-BE5F-52A6A97FAC0B}">
  <ds:schemaRefs>
    <ds:schemaRef ds:uri="http://schemas.microsoft.com/sharepoint/events"/>
  </ds:schemaRefs>
</ds:datastoreItem>
</file>

<file path=customXml/itemProps4.xml><?xml version="1.0" encoding="utf-8"?>
<ds:datastoreItem xmlns:ds="http://schemas.openxmlformats.org/officeDocument/2006/customXml" ds:itemID="{CE445BA4-1F45-40E0-88E1-EE799A8B08C8}">
  <ds:schemaRefs>
    <ds:schemaRef ds:uri="http://schemas.microsoft.com/sharepoint/v3/contenttype/forms"/>
  </ds:schemaRefs>
</ds:datastoreItem>
</file>

<file path=customXml/itemProps5.xml><?xml version="1.0" encoding="utf-8"?>
<ds:datastoreItem xmlns:ds="http://schemas.openxmlformats.org/officeDocument/2006/customXml" ds:itemID="{A72A1236-D888-4030-B619-B60F6AEB0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ce90b-4e9d-42ed-bce1-31a926703740"/>
    <ds:schemaRef ds:uri="09ca71ed-eeb5-45f0-82a7-1fd105711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Johnson</dc:creator>
  <cp:keywords/>
  <dc:description/>
  <cp:lastModifiedBy>Jordan Perry</cp:lastModifiedBy>
  <cp:revision>5</cp:revision>
  <dcterms:created xsi:type="dcterms:W3CDTF">2026-06-10T18:49:00Z</dcterms:created>
  <dcterms:modified xsi:type="dcterms:W3CDTF">2026-06-10T18:59:00Z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393f4c0d-0059-4633-a5dc-90a3b05f1db2</vt:lpwstr>
  </property>
  <property fmtid="{D5CDD505-2E9C-101B-9397-08002B2CF9AE}" pid="3" name="docLang">
    <vt:lpwstr>en</vt:lpwstr>
  </property>
  <property fmtid="{D5CDD505-2E9C-101B-9397-08002B2CF9AE}" pid="4" name="ContentTypeId">
    <vt:lpwstr>0x0101004690E1C4110A6F4F9AB7B9E37AA26560</vt:lpwstr>
  </property>
  <property fmtid="{D5CDD505-2E9C-101B-9397-08002B2CF9AE}" pid="5" name="_dlc_DocIdItemGuid">
    <vt:lpwstr>a9df81c5-1279-49b9-a62a-7760327cb3e1</vt:lpwstr>
  </property>
</Properties>
</file>